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C5" w:rsidRPr="0038195A" w:rsidRDefault="0038195A" w:rsidP="0038195A">
      <w:pPr>
        <w:pStyle w:val="ListParagraph"/>
        <w:ind w:left="284"/>
        <w:jc w:val="center"/>
        <w:rPr>
          <w:b/>
          <w:sz w:val="28"/>
          <w:szCs w:val="28"/>
        </w:rPr>
      </w:pPr>
      <w:r w:rsidRPr="0038195A">
        <w:rPr>
          <w:b/>
          <w:sz w:val="28"/>
          <w:szCs w:val="28"/>
        </w:rPr>
        <w:t>L</w:t>
      </w:r>
      <w:r w:rsidR="005777C5" w:rsidRPr="0038195A">
        <w:rPr>
          <w:b/>
          <w:sz w:val="28"/>
          <w:szCs w:val="28"/>
        </w:rPr>
        <w:t xml:space="preserve">egal provisions in </w:t>
      </w:r>
      <w:r w:rsidRPr="0038195A">
        <w:rPr>
          <w:b/>
          <w:sz w:val="28"/>
          <w:szCs w:val="28"/>
        </w:rPr>
        <w:t xml:space="preserve">the Republic of Armenia </w:t>
      </w:r>
      <w:r w:rsidR="005777C5" w:rsidRPr="0038195A">
        <w:rPr>
          <w:b/>
          <w:sz w:val="28"/>
          <w:szCs w:val="28"/>
        </w:rPr>
        <w:t>that recognizes the right to social security and social protection</w:t>
      </w:r>
      <w:r w:rsidRPr="0038195A">
        <w:rPr>
          <w:b/>
          <w:sz w:val="28"/>
          <w:szCs w:val="28"/>
        </w:rPr>
        <w:t xml:space="preserve"> of the elderly</w:t>
      </w:r>
    </w:p>
    <w:p w:rsidR="00AA5C9A" w:rsidRDefault="00AA5C9A" w:rsidP="00A72B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</w:rPr>
      </w:pPr>
    </w:p>
    <w:p w:rsidR="00A72BDE" w:rsidRPr="008C7162" w:rsidRDefault="00A72BDE" w:rsidP="00A72B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</w:rPr>
      </w:pPr>
      <w:r w:rsidRPr="008C7162">
        <w:rPr>
          <w:rFonts w:asciiTheme="minorHAnsi" w:eastAsiaTheme="minorHAnsi" w:hAnsiTheme="minorHAnsi" w:cstheme="minorBidi"/>
        </w:rPr>
        <w:t>The social security system in Armenia covers pensions, benefits for workers in the case of work-related accidents, disability benefits, sickness and maternity benefits, and family allowances.</w:t>
      </w:r>
    </w:p>
    <w:p w:rsidR="000B427D" w:rsidRPr="008C7162" w:rsidRDefault="00280773" w:rsidP="00280773">
      <w:pPr>
        <w:jc w:val="both"/>
        <w:rPr>
          <w:sz w:val="24"/>
          <w:szCs w:val="24"/>
        </w:rPr>
      </w:pPr>
      <w:r w:rsidRPr="008C7162">
        <w:rPr>
          <w:sz w:val="24"/>
          <w:szCs w:val="24"/>
        </w:rPr>
        <w:t>The right to social security for the old age is fixed in the Constitution of the Republic of Armenia.</w:t>
      </w:r>
    </w:p>
    <w:p w:rsidR="00280773" w:rsidRPr="008C7162" w:rsidRDefault="000B427D" w:rsidP="005777C5">
      <w:pPr>
        <w:jc w:val="both"/>
        <w:rPr>
          <w:sz w:val="24"/>
          <w:szCs w:val="24"/>
        </w:rPr>
      </w:pPr>
      <w:r w:rsidRPr="008C7162">
        <w:rPr>
          <w:sz w:val="24"/>
          <w:szCs w:val="24"/>
        </w:rPr>
        <w:t xml:space="preserve">Article 83 of the Constitution of the Republic of Armenia states the right to social security </w:t>
      </w:r>
      <w:r w:rsidR="00280773" w:rsidRPr="008C7162">
        <w:rPr>
          <w:sz w:val="24"/>
          <w:szCs w:val="24"/>
        </w:rPr>
        <w:t>in case of the</w:t>
      </w:r>
      <w:r w:rsidRPr="008C7162">
        <w:rPr>
          <w:sz w:val="24"/>
          <w:szCs w:val="24"/>
        </w:rPr>
        <w:t xml:space="preserve"> old age</w:t>
      </w:r>
      <w:r w:rsidR="00280773" w:rsidRPr="008C7162">
        <w:rPr>
          <w:sz w:val="24"/>
          <w:szCs w:val="24"/>
        </w:rPr>
        <w:t xml:space="preserve"> in line with sickness, disability, need of care, unemployment, and other cases</w:t>
      </w:r>
      <w:r w:rsidRPr="008C7162">
        <w:rPr>
          <w:sz w:val="24"/>
          <w:szCs w:val="24"/>
        </w:rPr>
        <w:t xml:space="preserve">. </w:t>
      </w:r>
      <w:r w:rsidR="00280773" w:rsidRPr="008C7162">
        <w:rPr>
          <w:sz w:val="24"/>
          <w:szCs w:val="24"/>
        </w:rPr>
        <w:t xml:space="preserve">According to the </w:t>
      </w:r>
      <w:r w:rsidRPr="008C7162">
        <w:rPr>
          <w:sz w:val="24"/>
          <w:szCs w:val="24"/>
        </w:rPr>
        <w:t xml:space="preserve">Article 84 </w:t>
      </w:r>
      <w:r w:rsidR="00280773" w:rsidRPr="008C7162">
        <w:rPr>
          <w:sz w:val="24"/>
          <w:szCs w:val="24"/>
        </w:rPr>
        <w:t xml:space="preserve">of the Constitution of the Republic of Armenia </w:t>
      </w:r>
      <w:r w:rsidRPr="008C7162">
        <w:rPr>
          <w:sz w:val="24"/>
          <w:szCs w:val="24"/>
        </w:rPr>
        <w:t>the elderly shall have the right to a decent living</w:t>
      </w:r>
      <w:r w:rsidR="00EA6212">
        <w:rPr>
          <w:rStyle w:val="FootnoteReference"/>
          <w:sz w:val="24"/>
          <w:szCs w:val="24"/>
        </w:rPr>
        <w:footnoteReference w:id="1"/>
      </w:r>
      <w:r w:rsidRPr="008C7162">
        <w:rPr>
          <w:sz w:val="24"/>
          <w:szCs w:val="24"/>
        </w:rPr>
        <w:t xml:space="preserve">. </w:t>
      </w:r>
    </w:p>
    <w:p w:rsidR="001542F0" w:rsidRDefault="001542F0" w:rsidP="005777C5">
      <w:pPr>
        <w:jc w:val="both"/>
        <w:rPr>
          <w:sz w:val="24"/>
          <w:szCs w:val="24"/>
        </w:rPr>
      </w:pPr>
      <w:r>
        <w:rPr>
          <w:sz w:val="24"/>
          <w:szCs w:val="24"/>
        </w:rPr>
        <w:t>It is worth mentioning that s</w:t>
      </w:r>
      <w:r w:rsidRPr="008C7162">
        <w:rPr>
          <w:sz w:val="24"/>
          <w:szCs w:val="24"/>
        </w:rPr>
        <w:t>ocial security system covers the entire population against all basic social risks under the ILO Social Security (Minimum Standards) Convention (No. 102) in Armenia</w:t>
      </w:r>
      <w:r w:rsidRPr="00C25DA1">
        <w:rPr>
          <w:sz w:val="24"/>
          <w:szCs w:val="24"/>
        </w:rPr>
        <w:t xml:space="preserve"> though Armenia has not ratified the mentioned document</w:t>
      </w:r>
      <w:r w:rsidRPr="008C7162">
        <w:rPr>
          <w:sz w:val="24"/>
          <w:szCs w:val="24"/>
        </w:rPr>
        <w:t>. </w:t>
      </w:r>
    </w:p>
    <w:p w:rsidR="00C25DA1" w:rsidRDefault="00C25DA1" w:rsidP="005777C5">
      <w:pPr>
        <w:jc w:val="both"/>
        <w:rPr>
          <w:sz w:val="24"/>
          <w:szCs w:val="24"/>
        </w:rPr>
      </w:pPr>
      <w:r>
        <w:rPr>
          <w:sz w:val="24"/>
          <w:szCs w:val="24"/>
        </w:rPr>
        <w:t>The Constitution of the Republic of Armenia (Article 29) also stipulates the prohibition of any discrimination based on age.</w:t>
      </w:r>
    </w:p>
    <w:p w:rsidR="000B427D" w:rsidRPr="008C7162" w:rsidRDefault="001542F0" w:rsidP="005777C5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C7162">
        <w:rPr>
          <w:sz w:val="24"/>
          <w:szCs w:val="24"/>
        </w:rPr>
        <w:t>n 18 June 2017, t</w:t>
      </w:r>
      <w:r w:rsidR="000B427D" w:rsidRPr="008C7162">
        <w:rPr>
          <w:sz w:val="24"/>
          <w:szCs w:val="24"/>
        </w:rPr>
        <w:t xml:space="preserve">he government </w:t>
      </w:r>
      <w:r w:rsidR="008C7162">
        <w:rPr>
          <w:sz w:val="24"/>
          <w:szCs w:val="24"/>
        </w:rPr>
        <w:t xml:space="preserve">of Armenia </w:t>
      </w:r>
      <w:r w:rsidR="000B427D" w:rsidRPr="008C7162">
        <w:rPr>
          <w:sz w:val="24"/>
          <w:szCs w:val="24"/>
        </w:rPr>
        <w:t>adopted a “Strategy on the Solution of Issues Arising from the Consequences of the Population Ageing and Social Protection of the Elderly” and the 2017-2021 Action Plan on its implementation.</w:t>
      </w:r>
    </w:p>
    <w:p w:rsidR="00A07504" w:rsidRPr="001902D0" w:rsidRDefault="00A07504" w:rsidP="00A07504">
      <w:pPr>
        <w:jc w:val="both"/>
        <w:rPr>
          <w:sz w:val="24"/>
          <w:szCs w:val="24"/>
        </w:rPr>
      </w:pPr>
      <w:r w:rsidRPr="00A07504">
        <w:rPr>
          <w:sz w:val="24"/>
          <w:szCs w:val="24"/>
        </w:rPr>
        <w:t>An old age pension system applies to all Armenian residents.</w:t>
      </w:r>
      <w:r>
        <w:t xml:space="preserve"> </w:t>
      </w:r>
      <w:r>
        <w:rPr>
          <w:sz w:val="24"/>
          <w:szCs w:val="24"/>
        </w:rPr>
        <w:t>According to t</w:t>
      </w:r>
      <w:r w:rsidR="008C7162">
        <w:rPr>
          <w:sz w:val="24"/>
          <w:szCs w:val="24"/>
        </w:rPr>
        <w:t>he law of the Republic of Armenia on State P</w:t>
      </w:r>
      <w:r w:rsidR="008C7162" w:rsidRPr="008C7162">
        <w:rPr>
          <w:sz w:val="24"/>
          <w:szCs w:val="24"/>
        </w:rPr>
        <w:t xml:space="preserve">ensions </w:t>
      </w:r>
      <w:r w:rsidR="001D3771">
        <w:rPr>
          <w:sz w:val="24"/>
          <w:szCs w:val="24"/>
        </w:rPr>
        <w:t>(2010)</w:t>
      </w:r>
      <w:r w:rsidR="00306C38">
        <w:rPr>
          <w:sz w:val="24"/>
          <w:szCs w:val="24"/>
        </w:rPr>
        <w:t xml:space="preserve"> </w:t>
      </w:r>
      <w:r w:rsidRPr="00A07504">
        <w:rPr>
          <w:sz w:val="24"/>
          <w:szCs w:val="24"/>
        </w:rPr>
        <w:t>the citizens of the Republic of Armenia, foreign citizens or stateless persons who meet the conditions specified in th</w:t>
      </w:r>
      <w:r>
        <w:rPr>
          <w:sz w:val="24"/>
          <w:szCs w:val="24"/>
        </w:rPr>
        <w:t>e</w:t>
      </w:r>
      <w:r w:rsidRPr="00A07504">
        <w:rPr>
          <w:sz w:val="24"/>
          <w:szCs w:val="24"/>
        </w:rPr>
        <w:t xml:space="preserve"> Law shall have the right to a pension unless otherwise established by th</w:t>
      </w:r>
      <w:r>
        <w:rPr>
          <w:sz w:val="24"/>
          <w:szCs w:val="24"/>
        </w:rPr>
        <w:t>e mentioned</w:t>
      </w:r>
      <w:r w:rsidRPr="00A07504">
        <w:rPr>
          <w:sz w:val="24"/>
          <w:szCs w:val="24"/>
        </w:rPr>
        <w:t xml:space="preserve"> Law</w:t>
      </w:r>
      <w:r>
        <w:rPr>
          <w:rStyle w:val="FootnoteReference"/>
          <w:sz w:val="24"/>
          <w:szCs w:val="24"/>
        </w:rPr>
        <w:footnoteReference w:id="2"/>
      </w:r>
      <w:r>
        <w:rPr>
          <w:sz w:val="24"/>
          <w:szCs w:val="24"/>
        </w:rPr>
        <w:t>.</w:t>
      </w:r>
    </w:p>
    <w:p w:rsidR="00E13568" w:rsidRDefault="00A07504" w:rsidP="00EA621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Thus, </w:t>
      </w:r>
      <w:r w:rsidR="00E13568" w:rsidRPr="00E13568">
        <w:rPr>
          <w:sz w:val="24"/>
          <w:szCs w:val="24"/>
        </w:rPr>
        <w:t>the pension system of the Republic of Armenia incorporates</w:t>
      </w:r>
      <w:r w:rsidR="00E13568">
        <w:rPr>
          <w:sz w:val="24"/>
          <w:szCs w:val="24"/>
        </w:rPr>
        <w:t xml:space="preserve"> three main components</w:t>
      </w:r>
      <w:r w:rsidR="00E13568" w:rsidRPr="00E13568">
        <w:rPr>
          <w:sz w:val="24"/>
          <w:szCs w:val="24"/>
        </w:rPr>
        <w:t>: 1) the state pension security; 2) the mandatory funded pension; 3) the voluntary funded pension component.</w:t>
      </w:r>
    </w:p>
    <w:p w:rsidR="00D553AC" w:rsidRDefault="00EA6212" w:rsidP="00EA6212">
      <w:pPr>
        <w:shd w:val="clear" w:color="auto" w:fill="FFFFFF"/>
        <w:jc w:val="both"/>
        <w:rPr>
          <w:sz w:val="24"/>
          <w:szCs w:val="24"/>
        </w:rPr>
      </w:pPr>
      <w:r w:rsidRPr="00EA6212">
        <w:rPr>
          <w:sz w:val="24"/>
          <w:szCs w:val="24"/>
        </w:rPr>
        <w:t>State Pension</w:t>
      </w:r>
      <w:r w:rsidR="00E13568">
        <w:rPr>
          <w:sz w:val="24"/>
          <w:szCs w:val="24"/>
        </w:rPr>
        <w:t xml:space="preserve"> Security component </w:t>
      </w:r>
      <w:r w:rsidRPr="00EA6212">
        <w:rPr>
          <w:sz w:val="24"/>
          <w:szCs w:val="24"/>
        </w:rPr>
        <w:t xml:space="preserve">has two </w:t>
      </w:r>
      <w:r w:rsidR="00E13568">
        <w:rPr>
          <w:sz w:val="24"/>
          <w:szCs w:val="24"/>
        </w:rPr>
        <w:t>sub-</w:t>
      </w:r>
      <w:r w:rsidRPr="00EA6212">
        <w:rPr>
          <w:sz w:val="24"/>
          <w:szCs w:val="24"/>
        </w:rPr>
        <w:t>components</w:t>
      </w:r>
      <w:r w:rsidR="00E13568">
        <w:rPr>
          <w:sz w:val="24"/>
          <w:szCs w:val="24"/>
        </w:rPr>
        <w:t>:</w:t>
      </w:r>
      <w:r w:rsidRPr="00EA6212">
        <w:rPr>
          <w:sz w:val="24"/>
          <w:szCs w:val="24"/>
        </w:rPr>
        <w:t xml:space="preserve"> Social Pension and Employment Pension. Social pension (also called public benefit) is a defined pension rate which is funded from the Sta</w:t>
      </w:r>
      <w:bookmarkStart w:id="0" w:name="_GoBack"/>
      <w:bookmarkEnd w:id="0"/>
      <w:r w:rsidRPr="00EA6212">
        <w:rPr>
          <w:sz w:val="24"/>
          <w:szCs w:val="24"/>
        </w:rPr>
        <w:t>te Budget, and its main issue is to provide pensioners</w:t>
      </w:r>
      <w:r w:rsidR="009840AD">
        <w:rPr>
          <w:sz w:val="24"/>
          <w:szCs w:val="24"/>
        </w:rPr>
        <w:t xml:space="preserve"> </w:t>
      </w:r>
      <w:r w:rsidR="009840AD" w:rsidRPr="00306C38">
        <w:rPr>
          <w:sz w:val="24"/>
          <w:szCs w:val="24"/>
        </w:rPr>
        <w:t xml:space="preserve">who have reached the age of 65 </w:t>
      </w:r>
      <w:r w:rsidR="009840AD">
        <w:rPr>
          <w:sz w:val="24"/>
          <w:szCs w:val="24"/>
        </w:rPr>
        <w:t>and</w:t>
      </w:r>
      <w:r w:rsidRPr="00EA6212">
        <w:rPr>
          <w:sz w:val="24"/>
          <w:szCs w:val="24"/>
        </w:rPr>
        <w:t xml:space="preserve"> </w:t>
      </w:r>
    </w:p>
    <w:p w:rsidR="00D553AC" w:rsidRDefault="00D553AC" w:rsidP="00EA6212">
      <w:pPr>
        <w:shd w:val="clear" w:color="auto" w:fill="FFFFFF"/>
        <w:jc w:val="both"/>
        <w:rPr>
          <w:sz w:val="24"/>
          <w:szCs w:val="24"/>
        </w:rPr>
      </w:pPr>
    </w:p>
    <w:p w:rsidR="00EA6212" w:rsidRPr="005D474C" w:rsidRDefault="00EA6212" w:rsidP="00EA6212">
      <w:pPr>
        <w:shd w:val="clear" w:color="auto" w:fill="FFFFFF"/>
        <w:jc w:val="both"/>
        <w:rPr>
          <w:sz w:val="24"/>
          <w:szCs w:val="24"/>
        </w:rPr>
      </w:pPr>
      <w:r w:rsidRPr="00EA6212">
        <w:rPr>
          <w:sz w:val="24"/>
          <w:szCs w:val="24"/>
        </w:rPr>
        <w:t>have no required eligible years of service with the minimum income. </w:t>
      </w:r>
      <w:r w:rsidR="00E13568" w:rsidRPr="00306C38">
        <w:rPr>
          <w:sz w:val="24"/>
          <w:szCs w:val="24"/>
        </w:rPr>
        <w:t xml:space="preserve">This component aims to overcome poverty. </w:t>
      </w:r>
    </w:p>
    <w:p w:rsidR="00EA6212" w:rsidRDefault="00EA6212" w:rsidP="00EA6212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D474C">
        <w:rPr>
          <w:sz w:val="24"/>
          <w:szCs w:val="24"/>
        </w:rPr>
        <w:t xml:space="preserve">Employment Pension is the old-age pension, based on the payments made. </w:t>
      </w:r>
      <w:r w:rsidR="005D474C" w:rsidRPr="00306C38">
        <w:rPr>
          <w:sz w:val="24"/>
          <w:szCs w:val="24"/>
        </w:rPr>
        <w:t xml:space="preserve">Employment pension </w:t>
      </w:r>
      <w:r w:rsidR="005D474C" w:rsidRPr="005D474C">
        <w:rPr>
          <w:sz w:val="24"/>
          <w:szCs w:val="24"/>
        </w:rPr>
        <w:t xml:space="preserve">is </w:t>
      </w:r>
      <w:r w:rsidR="005D474C" w:rsidRPr="00306C38">
        <w:rPr>
          <w:sz w:val="24"/>
          <w:szCs w:val="24"/>
        </w:rPr>
        <w:t xml:space="preserve">granted to individuals who have the minimum eligible number of years in service and have reached the age of 63, or have been recognized disabled or a survivor. </w:t>
      </w:r>
      <w:r w:rsidRPr="005D474C">
        <w:rPr>
          <w:sz w:val="24"/>
          <w:szCs w:val="24"/>
        </w:rPr>
        <w:t>However, the amount of this pension type is not conditioned by the payments the person has made during the employment years, but by the number of seniority years. </w:t>
      </w:r>
      <w:r w:rsidR="005D474C" w:rsidRPr="00306C38">
        <w:rPr>
          <w:sz w:val="24"/>
          <w:szCs w:val="24"/>
        </w:rPr>
        <w:t>Employment pensions are also funded by the State budget</w:t>
      </w:r>
      <w:r w:rsidR="005D474C" w:rsidRPr="00306C3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1732CE" w:rsidRPr="005D474C" w:rsidRDefault="001732CE" w:rsidP="001732CE">
      <w:pPr>
        <w:shd w:val="clear" w:color="auto" w:fill="FFFFFF"/>
        <w:jc w:val="both"/>
        <w:rPr>
          <w:sz w:val="24"/>
          <w:szCs w:val="24"/>
        </w:rPr>
      </w:pPr>
      <w:r w:rsidRPr="00A6714A">
        <w:rPr>
          <w:sz w:val="24"/>
          <w:szCs w:val="24"/>
        </w:rPr>
        <w:t>It is worth mentioning that ensuring a minimal amount of pension which is compatible with the minimal consumer budget is one of the Principles of the State Pension Policy</w:t>
      </w:r>
      <w:r>
        <w:rPr>
          <w:rStyle w:val="FootnoteReference"/>
          <w:rFonts w:ascii="Arial" w:eastAsia="Times New Roman" w:hAnsi="Arial" w:cs="Arial"/>
          <w:color w:val="333333"/>
          <w:sz w:val="21"/>
          <w:szCs w:val="21"/>
        </w:rPr>
        <w:footnoteReference w:id="3"/>
      </w:r>
      <w:r w:rsidRPr="001732CE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C25DA1" w:rsidRDefault="00D040CD" w:rsidP="00EA6212">
      <w:pPr>
        <w:shd w:val="clear" w:color="auto" w:fill="FFFFFF"/>
        <w:jc w:val="both"/>
        <w:rPr>
          <w:sz w:val="24"/>
          <w:szCs w:val="24"/>
        </w:rPr>
      </w:pPr>
      <w:r w:rsidRPr="00D040CD">
        <w:rPr>
          <w:sz w:val="24"/>
          <w:szCs w:val="24"/>
        </w:rPr>
        <w:t>Therefore</w:t>
      </w:r>
      <w:r>
        <w:rPr>
          <w:sz w:val="24"/>
          <w:szCs w:val="24"/>
        </w:rPr>
        <w:t>,</w:t>
      </w:r>
      <w:r w:rsidRPr="00D040CD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D040CD">
        <w:rPr>
          <w:sz w:val="24"/>
          <w:szCs w:val="24"/>
        </w:rPr>
        <w:t>y the decision of the Government of Armenia, starting from 1 January 2019 the size of old age benefit</w:t>
      </w:r>
      <w:r>
        <w:rPr>
          <w:sz w:val="24"/>
          <w:szCs w:val="24"/>
        </w:rPr>
        <w:t xml:space="preserve"> </w:t>
      </w:r>
      <w:r w:rsidRPr="00D040CD">
        <w:rPr>
          <w:sz w:val="24"/>
          <w:szCs w:val="24"/>
        </w:rPr>
        <w:t>has been set at 25 500 AMD</w:t>
      </w:r>
      <w:r>
        <w:rPr>
          <w:sz w:val="24"/>
          <w:szCs w:val="24"/>
        </w:rPr>
        <w:t xml:space="preserve"> to overcome extreme poverty among the elderly</w:t>
      </w:r>
      <w:r w:rsidRPr="00D040CD">
        <w:rPr>
          <w:sz w:val="24"/>
          <w:szCs w:val="24"/>
        </w:rPr>
        <w:t xml:space="preserve">. </w:t>
      </w:r>
    </w:p>
    <w:p w:rsidR="00F64406" w:rsidRDefault="00EE74F0" w:rsidP="000E019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As regards to the health care of the elderly, t</w:t>
      </w:r>
      <w:r w:rsidR="00F64406" w:rsidRPr="00F64406">
        <w:rPr>
          <w:sz w:val="24"/>
          <w:szCs w:val="24"/>
        </w:rPr>
        <w:t xml:space="preserve">he </w:t>
      </w:r>
      <w:r w:rsidR="00F64406">
        <w:rPr>
          <w:sz w:val="24"/>
          <w:szCs w:val="24"/>
        </w:rPr>
        <w:t xml:space="preserve">Constitution of the Republic of Armenia stipulates the right of everyone to health care (Article 85). Accordingly, </w:t>
      </w:r>
      <w:r w:rsidR="00F64406" w:rsidRPr="00F64406">
        <w:rPr>
          <w:sz w:val="24"/>
          <w:szCs w:val="24"/>
        </w:rPr>
        <w:t xml:space="preserve">access to primary medical care requiring basic methods and technology is free of charge </w:t>
      </w:r>
      <w:r w:rsidR="00F64406">
        <w:rPr>
          <w:sz w:val="24"/>
          <w:szCs w:val="24"/>
        </w:rPr>
        <w:t xml:space="preserve">in Armenia as defined by </w:t>
      </w:r>
      <w:r w:rsidR="00F64406" w:rsidRPr="00F64406">
        <w:rPr>
          <w:sz w:val="24"/>
          <w:szCs w:val="24"/>
        </w:rPr>
        <w:t>the Law on Medical Assistance and Service to the Population</w:t>
      </w:r>
      <w:r w:rsidR="00F64406">
        <w:rPr>
          <w:sz w:val="24"/>
          <w:szCs w:val="24"/>
        </w:rPr>
        <w:t xml:space="preserve"> (1996).</w:t>
      </w:r>
    </w:p>
    <w:p w:rsidR="00F64406" w:rsidRPr="00F64406" w:rsidRDefault="00EE74F0" w:rsidP="00F6440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</w:t>
      </w:r>
      <w:r w:rsidRPr="00EE74F0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important to mention that the Government of Armenia adopted </w:t>
      </w:r>
      <w:r w:rsidR="00F64406" w:rsidRPr="00F64406">
        <w:rPr>
          <w:sz w:val="24"/>
          <w:szCs w:val="24"/>
        </w:rPr>
        <w:t xml:space="preserve">a </w:t>
      </w:r>
      <w:r>
        <w:rPr>
          <w:sz w:val="24"/>
          <w:szCs w:val="24"/>
        </w:rPr>
        <w:t>C</w:t>
      </w:r>
      <w:r w:rsidRPr="00F64406">
        <w:rPr>
          <w:sz w:val="24"/>
          <w:szCs w:val="24"/>
        </w:rPr>
        <w:t xml:space="preserve">oncept </w:t>
      </w:r>
      <w:r>
        <w:rPr>
          <w:sz w:val="24"/>
          <w:szCs w:val="24"/>
        </w:rPr>
        <w:t xml:space="preserve">on </w:t>
      </w:r>
      <w:r w:rsidR="00F64406" w:rsidRPr="00F64406">
        <w:rPr>
          <w:sz w:val="24"/>
          <w:szCs w:val="24"/>
        </w:rPr>
        <w:t xml:space="preserve">palliative care </w:t>
      </w:r>
      <w:r>
        <w:rPr>
          <w:sz w:val="24"/>
          <w:szCs w:val="24"/>
        </w:rPr>
        <w:t>(2012-2016) and confirmed</w:t>
      </w:r>
      <w:r w:rsidRPr="00EE74F0">
        <w:rPr>
          <w:sz w:val="24"/>
          <w:szCs w:val="24"/>
        </w:rPr>
        <w:t xml:space="preserve"> </w:t>
      </w:r>
      <w:r w:rsidRPr="00F64406">
        <w:rPr>
          <w:sz w:val="24"/>
          <w:szCs w:val="24"/>
        </w:rPr>
        <w:t xml:space="preserve">an action plan for the period </w:t>
      </w:r>
      <w:r w:rsidR="004F606F">
        <w:rPr>
          <w:sz w:val="24"/>
          <w:szCs w:val="24"/>
        </w:rPr>
        <w:t xml:space="preserve">of </w:t>
      </w:r>
      <w:r w:rsidRPr="00F64406">
        <w:rPr>
          <w:sz w:val="24"/>
          <w:szCs w:val="24"/>
        </w:rPr>
        <w:t>2017-2019.</w:t>
      </w:r>
      <w:r w:rsidR="00F64406" w:rsidRPr="00F64406">
        <w:rPr>
          <w:sz w:val="24"/>
          <w:szCs w:val="24"/>
        </w:rPr>
        <w:t xml:space="preserve"> </w:t>
      </w:r>
    </w:p>
    <w:p w:rsidR="005777C5" w:rsidRDefault="00AF7E04" w:rsidP="00E72F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regards to the international </w:t>
      </w:r>
      <w:r w:rsidRPr="00AF7E04">
        <w:rPr>
          <w:sz w:val="24"/>
          <w:szCs w:val="24"/>
        </w:rPr>
        <w:t>human rights treaties</w:t>
      </w:r>
      <w:r w:rsidRPr="00EE74F0">
        <w:rPr>
          <w:sz w:val="24"/>
          <w:szCs w:val="24"/>
        </w:rPr>
        <w:t xml:space="preserve">, </w:t>
      </w:r>
      <w:r>
        <w:rPr>
          <w:sz w:val="24"/>
          <w:szCs w:val="24"/>
        </w:rPr>
        <w:t>t</w:t>
      </w:r>
      <w:r w:rsidR="0038195A">
        <w:rPr>
          <w:sz w:val="24"/>
          <w:szCs w:val="24"/>
        </w:rPr>
        <w:t xml:space="preserve">he Republic of Armenia has ratified </w:t>
      </w:r>
      <w:r w:rsidRPr="0038195A">
        <w:rPr>
          <w:sz w:val="24"/>
          <w:szCs w:val="24"/>
        </w:rPr>
        <w:t>CESCR’s General Comment No. 6 on the economic, social and cultural rights of older persons on the basis of the UN International Covenant on Economic, Social and Cultural Rights (ICESC)</w:t>
      </w:r>
      <w:r w:rsidR="00254DA9">
        <w:rPr>
          <w:rStyle w:val="FootnoteReference"/>
          <w:sz w:val="24"/>
          <w:szCs w:val="24"/>
        </w:rPr>
        <w:footnoteReference w:id="4"/>
      </w:r>
      <w:r w:rsidR="00254DA9">
        <w:rPr>
          <w:sz w:val="24"/>
          <w:szCs w:val="24"/>
        </w:rPr>
        <w:t>.</w:t>
      </w:r>
    </w:p>
    <w:p w:rsidR="00C25DA1" w:rsidRDefault="00C25DA1">
      <w:pPr>
        <w:jc w:val="both"/>
        <w:rPr>
          <w:sz w:val="24"/>
          <w:szCs w:val="24"/>
        </w:rPr>
      </w:pPr>
    </w:p>
    <w:p w:rsidR="00D553AC" w:rsidRDefault="00D553AC">
      <w:pPr>
        <w:jc w:val="both"/>
        <w:rPr>
          <w:sz w:val="24"/>
          <w:szCs w:val="24"/>
        </w:rPr>
      </w:pPr>
    </w:p>
    <w:p w:rsidR="00D553AC" w:rsidRDefault="00D553AC">
      <w:pPr>
        <w:jc w:val="both"/>
        <w:rPr>
          <w:sz w:val="24"/>
          <w:szCs w:val="24"/>
        </w:rPr>
      </w:pPr>
    </w:p>
    <w:p w:rsidR="00D553AC" w:rsidRPr="005777C5" w:rsidRDefault="00D553AC">
      <w:pPr>
        <w:jc w:val="both"/>
        <w:rPr>
          <w:sz w:val="24"/>
          <w:szCs w:val="24"/>
        </w:rPr>
      </w:pPr>
    </w:p>
    <w:sectPr w:rsidR="00D553AC" w:rsidRPr="005777C5" w:rsidSect="00D553AC">
      <w:headerReference w:type="default" r:id="rId8"/>
      <w:footerReference w:type="default" r:id="rId9"/>
      <w:pgSz w:w="12240" w:h="15840"/>
      <w:pgMar w:top="1440" w:right="1325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0B" w:rsidRDefault="0028660B" w:rsidP="00A72BDE">
      <w:pPr>
        <w:spacing w:after="0" w:line="240" w:lineRule="auto"/>
      </w:pPr>
      <w:r>
        <w:separator/>
      </w:r>
    </w:p>
  </w:endnote>
  <w:endnote w:type="continuationSeparator" w:id="0">
    <w:p w:rsidR="0028660B" w:rsidRDefault="0028660B" w:rsidP="00A7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AC" w:rsidRDefault="00D553AC" w:rsidP="00D553AC">
    <w:pPr>
      <w:jc w:val="center"/>
      <w:rPr>
        <w:rFonts w:ascii="Arial LatArm" w:hAnsi="Arial LatArm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553AC" w:rsidRDefault="00D553AC" w:rsidP="00D553AC">
    <w:pPr>
      <w:jc w:val="center"/>
      <w:rPr>
        <w:rFonts w:ascii="Arial LatArm" w:hAnsi="Arial LatArm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553AC" w:rsidRPr="00695A57" w:rsidRDefault="00D553AC" w:rsidP="00D553AC">
    <w:pPr>
      <w:jc w:val="center"/>
      <w:rPr>
        <w:rFonts w:ascii="Arial LatArm" w:hAnsi="Arial LatArm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95A57">
      <w:rPr>
        <w:rFonts w:ascii="Arial LatArm" w:hAnsi="Arial LatArm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Ð³Û³ëï³Ý, ºñ¨³Ý 0026, ÜÅ¹»Ñ 42,</w:t>
    </w:r>
  </w:p>
  <w:p w:rsidR="00D553AC" w:rsidRPr="00695A57" w:rsidRDefault="00D553AC" w:rsidP="00D553AC">
    <w:pPr>
      <w:pStyle w:val="Footer"/>
      <w:jc w:val="center"/>
      <w:rPr>
        <w:rFonts w:ascii="Arial LatArm" w:hAnsi="Arial LatArm"/>
        <w:sz w:val="18"/>
        <w:szCs w:val="15"/>
        <w:lang w:val="es-B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spellStart"/>
    <w:proofErr w:type="gramStart"/>
    <w:r w:rsidRPr="00695A57">
      <w:rPr>
        <w:rFonts w:ascii="Arial LatArm" w:hAnsi="Arial LatArm"/>
        <w:sz w:val="15"/>
        <w:szCs w:val="15"/>
        <w:lang w:val="es-B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Ñ»é</w:t>
    </w:r>
    <w:proofErr w:type="spellEnd"/>
    <w:r w:rsidRPr="00695A57">
      <w:rPr>
        <w:rFonts w:ascii="Arial LatArm" w:hAnsi="Arial LatArm"/>
        <w:sz w:val="15"/>
        <w:szCs w:val="15"/>
        <w:lang w:val="es-B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proofErr w:type="gramEnd"/>
    <w:r w:rsidRPr="00695A57">
      <w:t xml:space="preserve"> 444 -792;  444-793; 444-761 </w:t>
    </w:r>
    <w:r w:rsidRPr="00695A57">
      <w:rPr>
        <w:rFonts w:ascii="Arial LatArm" w:hAnsi="Arial LatArm"/>
        <w:sz w:val="15"/>
        <w:szCs w:val="15"/>
        <w:lang w:val="es-B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¿É.÷</w:t>
    </w:r>
    <w:proofErr w:type="spellStart"/>
    <w:r w:rsidRPr="00695A57">
      <w:rPr>
        <w:rFonts w:ascii="Arial LatArm" w:hAnsi="Arial LatArm"/>
        <w:sz w:val="15"/>
        <w:szCs w:val="15"/>
        <w:lang w:val="es-B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áëï</w:t>
    </w:r>
    <w:proofErr w:type="spellEnd"/>
    <w:r w:rsidRPr="00695A57">
      <w:rPr>
        <w:rFonts w:ascii="Arial LatArm" w:hAnsi="Arial LatArm"/>
        <w:sz w:val="15"/>
        <w:szCs w:val="15"/>
        <w:lang w:val="es-B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</w:t>
    </w:r>
    <w:hyperlink r:id="rId1" w:history="1">
      <w:r w:rsidRPr="00695A57">
        <w:rPr>
          <w:rStyle w:val="Hyperlink"/>
          <w:rFonts w:ascii="Arial LatArm" w:hAnsi="Arial LatArm"/>
          <w:color w:val="auto"/>
          <w:sz w:val="15"/>
          <w:szCs w:val="15"/>
          <w:lang w:val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org@ngo.mission.am</w:t>
      </w:r>
    </w:hyperlink>
    <w:r w:rsidRPr="00695A57">
      <w:rPr>
        <w:rFonts w:ascii="Arial LatArm" w:hAnsi="Arial LatArm"/>
        <w:sz w:val="15"/>
        <w:szCs w:val="15"/>
        <w:lang w:val="es-B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695A57">
      <w:rPr>
        <w:lang w:val="es-BO"/>
      </w:rPr>
      <w:t>URL:www.mission.am</w:t>
    </w:r>
  </w:p>
  <w:p w:rsidR="00D553AC" w:rsidRPr="00695A57" w:rsidRDefault="00D553AC" w:rsidP="00D553AC">
    <w:pPr>
      <w:rPr>
        <w:rFonts w:ascii="Arial LatArm" w:hAnsi="Arial LatArm"/>
        <w:sz w:val="15"/>
        <w:szCs w:val="15"/>
        <w:lang w:val="es-B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95A57">
      <w:rPr>
        <w:rFonts w:ascii="Arial LatArm" w:hAnsi="Arial LatArm"/>
        <w:sz w:val="15"/>
        <w:szCs w:val="15"/>
        <w:lang w:val="es-B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</w:t>
    </w:r>
    <w:proofErr w:type="spellStart"/>
    <w:r w:rsidRPr="00695A57">
      <w:rPr>
        <w:rFonts w:ascii="Arial LatArm" w:hAnsi="Arial LatArm"/>
        <w:sz w:val="15"/>
        <w:szCs w:val="15"/>
        <w:lang w:val="es-B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Nzhdeh</w:t>
    </w:r>
    <w:proofErr w:type="spellEnd"/>
    <w:r w:rsidRPr="00695A57">
      <w:rPr>
        <w:rFonts w:ascii="Arial LatArm" w:hAnsi="Arial LatArm"/>
        <w:sz w:val="15"/>
        <w:szCs w:val="15"/>
        <w:lang w:val="es-B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42, 0026 </w:t>
    </w:r>
    <w:proofErr w:type="spellStart"/>
    <w:r w:rsidRPr="00695A57">
      <w:rPr>
        <w:rFonts w:ascii="Arial LatArm" w:hAnsi="Arial LatArm"/>
        <w:sz w:val="15"/>
        <w:szCs w:val="15"/>
        <w:lang w:val="es-B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Yerevan</w:t>
    </w:r>
    <w:proofErr w:type="spellEnd"/>
    <w:r w:rsidRPr="00695A57">
      <w:rPr>
        <w:rFonts w:ascii="Arial LatArm" w:hAnsi="Arial LatArm"/>
        <w:sz w:val="15"/>
        <w:szCs w:val="15"/>
        <w:lang w:val="es-B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Armenia, </w:t>
    </w:r>
    <w:proofErr w:type="spellStart"/>
    <w:r w:rsidRPr="00695A57">
      <w:rPr>
        <w:rFonts w:ascii="Arial LatArm" w:hAnsi="Arial LatArm"/>
        <w:sz w:val="15"/>
        <w:szCs w:val="15"/>
        <w:lang w:val="es-B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</w:t>
    </w:r>
    <w:proofErr w:type="spellEnd"/>
    <w:r w:rsidRPr="00695A57">
      <w:rPr>
        <w:rFonts w:ascii="Arial LatArm" w:hAnsi="Arial LatArm"/>
        <w:sz w:val="15"/>
        <w:szCs w:val="15"/>
        <w:lang w:val="es-B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444- 792;  444-793;444-761, e-mail:  </w:t>
    </w:r>
    <w:hyperlink r:id="rId2" w:history="1">
      <w:r w:rsidRPr="00695A57">
        <w:rPr>
          <w:rStyle w:val="Hyperlink"/>
          <w:rFonts w:ascii="Arial LatArm" w:hAnsi="Arial LatArm"/>
          <w:color w:val="auto"/>
          <w:sz w:val="15"/>
          <w:szCs w:val="15"/>
          <w:lang w:val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org@ngo.mission.am</w:t>
      </w:r>
    </w:hyperlink>
    <w:r w:rsidRPr="00695A57">
      <w:rPr>
        <w:rFonts w:ascii="Arial LatArm" w:hAnsi="Arial LatArm"/>
        <w:sz w:val="15"/>
        <w:szCs w:val="15"/>
        <w:lang w:val="es-B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URL:www.mission.am</w:t>
    </w:r>
  </w:p>
  <w:p w:rsidR="00D553AC" w:rsidRPr="00D553AC" w:rsidRDefault="00D553AC">
    <w:pPr>
      <w:pStyle w:val="Footer"/>
      <w:rPr>
        <w:lang w:val="es-B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0B" w:rsidRDefault="0028660B" w:rsidP="00A72BDE">
      <w:pPr>
        <w:spacing w:after="0" w:line="240" w:lineRule="auto"/>
      </w:pPr>
      <w:r>
        <w:separator/>
      </w:r>
    </w:p>
  </w:footnote>
  <w:footnote w:type="continuationSeparator" w:id="0">
    <w:p w:rsidR="0028660B" w:rsidRDefault="0028660B" w:rsidP="00A72BDE">
      <w:pPr>
        <w:spacing w:after="0" w:line="240" w:lineRule="auto"/>
      </w:pPr>
      <w:r>
        <w:continuationSeparator/>
      </w:r>
    </w:p>
  </w:footnote>
  <w:footnote w:id="1">
    <w:p w:rsidR="00EA6212" w:rsidRDefault="00EA6212" w:rsidP="00D553A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17874">
          <w:rPr>
            <w:rStyle w:val="Hyperlink"/>
          </w:rPr>
          <w:t>http://www.president.am/en/constitution-2015/</w:t>
        </w:r>
      </w:hyperlink>
      <w:r>
        <w:t xml:space="preserve">, </w:t>
      </w:r>
      <w:r w:rsidRPr="00EA6212">
        <w:t>The Constitution of the Republic of Armenia</w:t>
      </w:r>
      <w:r>
        <w:t>, Articles 83-84</w:t>
      </w:r>
    </w:p>
  </w:footnote>
  <w:footnote w:id="2">
    <w:p w:rsidR="00A07504" w:rsidRDefault="00A07504" w:rsidP="00D553A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117874">
          <w:rPr>
            <w:rStyle w:val="Hyperlink"/>
          </w:rPr>
          <w:t>http://www.epension.am/__vfs/222</w:t>
        </w:r>
      </w:hyperlink>
      <w:r>
        <w:t xml:space="preserve">, </w:t>
      </w:r>
      <w:r w:rsidRPr="00EA6212">
        <w:t>The law of the Republic of Armenia on State Pensions</w:t>
      </w:r>
    </w:p>
  </w:footnote>
  <w:footnote w:id="3">
    <w:p w:rsidR="001732CE" w:rsidRDefault="001732CE" w:rsidP="00D553A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117874">
          <w:rPr>
            <w:rStyle w:val="Hyperlink"/>
          </w:rPr>
          <w:t>http://www.epension.am/__vfs/222</w:t>
        </w:r>
      </w:hyperlink>
      <w:r>
        <w:t xml:space="preserve">, </w:t>
      </w:r>
      <w:r w:rsidRPr="00EA6212">
        <w:t>The law of the Republic of Armenia on State Pensions</w:t>
      </w:r>
      <w:r>
        <w:t>, Article 4.</w:t>
      </w:r>
    </w:p>
  </w:footnote>
  <w:footnote w:id="4">
    <w:p w:rsidR="00D553AC" w:rsidRDefault="00254DA9" w:rsidP="00D553AC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General Comment No. 6: The Economic, Social and Cultural Rights of Older Persons, Committee on Economic, Social and Cultural Rights, 8 December 1995, E/1996/22, page 34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AC" w:rsidRDefault="00D553AC" w:rsidP="00D553AC">
    <w:pPr>
      <w:ind w:left="-426"/>
      <w:rPr>
        <w:rFonts w:ascii="Times Armenian" w:hAnsi="Times Armeni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0</wp:posOffset>
          </wp:positionV>
          <wp:extent cx="1568450" cy="501650"/>
          <wp:effectExtent l="0" t="0" r="0" b="0"/>
          <wp:wrapTight wrapText="bothSides">
            <wp:wrapPolygon edited="0">
              <wp:start x="0" y="0"/>
              <wp:lineTo x="0" y="20506"/>
              <wp:lineTo x="21250" y="20506"/>
              <wp:lineTo x="21250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</w:t>
    </w:r>
  </w:p>
  <w:p w:rsidR="00D553AC" w:rsidRPr="00555E1E" w:rsidRDefault="00D553AC" w:rsidP="00D553AC">
    <w:pPr>
      <w:ind w:left="-74"/>
      <w:jc w:val="center"/>
      <w:rPr>
        <w:rFonts w:ascii="Times Armenian" w:hAnsi="Times Armenian"/>
      </w:rPr>
    </w:pPr>
    <w:r w:rsidRPr="00211759">
      <w:rPr>
        <w:rFonts w:ascii="Times Armenian" w:hAnsi="Times Armenian"/>
      </w:rPr>
      <w:t xml:space="preserve">                                                                                                                                                               </w:t>
    </w:r>
    <w:r>
      <w:rPr>
        <w:rFonts w:ascii="Times Armenian" w:hAnsi="Times Armenian"/>
      </w:rPr>
      <w:t xml:space="preserve">          </w:t>
    </w:r>
  </w:p>
  <w:p w:rsidR="00D553AC" w:rsidRPr="00555E1E" w:rsidRDefault="00D553AC" w:rsidP="00D553AC">
    <w:pPr>
      <w:ind w:left="-74"/>
      <w:jc w:val="center"/>
      <w:rPr>
        <w:rFonts w:ascii="Times Armenian" w:hAnsi="Times Armenian"/>
        <w:sz w:val="24"/>
        <w:szCs w:val="24"/>
      </w:rPr>
    </w:pPr>
    <w:r>
      <w:rPr>
        <w:rFonts w:ascii="Times Armenian" w:hAnsi="Times Armenian"/>
        <w:sz w:val="24"/>
        <w:szCs w:val="24"/>
      </w:rPr>
      <w:t>====================================================</w:t>
    </w:r>
  </w:p>
  <w:p w:rsidR="00D553AC" w:rsidRDefault="00D55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14A"/>
    <w:multiLevelType w:val="multilevel"/>
    <w:tmpl w:val="36F4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7502A"/>
    <w:multiLevelType w:val="hybridMultilevel"/>
    <w:tmpl w:val="528E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C5"/>
    <w:rsid w:val="000B427D"/>
    <w:rsid w:val="000E019C"/>
    <w:rsid w:val="000E4655"/>
    <w:rsid w:val="000E7512"/>
    <w:rsid w:val="00110CAF"/>
    <w:rsid w:val="001542F0"/>
    <w:rsid w:val="001732CE"/>
    <w:rsid w:val="001902D0"/>
    <w:rsid w:val="001D3771"/>
    <w:rsid w:val="001F5FC8"/>
    <w:rsid w:val="00254DA9"/>
    <w:rsid w:val="00280773"/>
    <w:rsid w:val="0028660B"/>
    <w:rsid w:val="002A22B8"/>
    <w:rsid w:val="002E67FD"/>
    <w:rsid w:val="00306C38"/>
    <w:rsid w:val="0038195A"/>
    <w:rsid w:val="003A5E33"/>
    <w:rsid w:val="00457AF9"/>
    <w:rsid w:val="004E542F"/>
    <w:rsid w:val="004F606F"/>
    <w:rsid w:val="005777C5"/>
    <w:rsid w:val="005D474C"/>
    <w:rsid w:val="00645B03"/>
    <w:rsid w:val="00695A57"/>
    <w:rsid w:val="006A03DB"/>
    <w:rsid w:val="006A6A5E"/>
    <w:rsid w:val="008812D4"/>
    <w:rsid w:val="008C7162"/>
    <w:rsid w:val="00964389"/>
    <w:rsid w:val="009840AD"/>
    <w:rsid w:val="009E6486"/>
    <w:rsid w:val="00A07504"/>
    <w:rsid w:val="00A6714A"/>
    <w:rsid w:val="00A72BDE"/>
    <w:rsid w:val="00AA5C9A"/>
    <w:rsid w:val="00AF7E04"/>
    <w:rsid w:val="00B81FC7"/>
    <w:rsid w:val="00BC119E"/>
    <w:rsid w:val="00C25DA1"/>
    <w:rsid w:val="00D040CD"/>
    <w:rsid w:val="00D553AC"/>
    <w:rsid w:val="00E13568"/>
    <w:rsid w:val="00E72F9E"/>
    <w:rsid w:val="00EA6212"/>
    <w:rsid w:val="00EE74F0"/>
    <w:rsid w:val="00F6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2B6D6"/>
  <w15:chartTrackingRefBased/>
  <w15:docId w15:val="{9D91A84D-3E38-448B-AE07-778240B5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7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77C5"/>
    <w:rPr>
      <w:b/>
      <w:bCs/>
    </w:rPr>
  </w:style>
  <w:style w:type="paragraph" w:styleId="NormalWeb">
    <w:name w:val="Normal (Web)"/>
    <w:basedOn w:val="Normal"/>
    <w:uiPriority w:val="99"/>
    <w:unhideWhenUsed/>
    <w:rsid w:val="0096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96438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B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B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BDE"/>
    <w:rPr>
      <w:vertAlign w:val="superscript"/>
    </w:rPr>
  </w:style>
  <w:style w:type="character" w:customStyle="1" w:styleId="currlang">
    <w:name w:val="curr_lang"/>
    <w:basedOn w:val="DefaultParagraphFont"/>
    <w:rsid w:val="00EA6212"/>
  </w:style>
  <w:style w:type="paragraph" w:styleId="Header">
    <w:name w:val="header"/>
    <w:basedOn w:val="Normal"/>
    <w:link w:val="HeaderChar"/>
    <w:uiPriority w:val="99"/>
    <w:unhideWhenUsed/>
    <w:rsid w:val="00D5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AC"/>
  </w:style>
  <w:style w:type="paragraph" w:styleId="Footer">
    <w:name w:val="footer"/>
    <w:basedOn w:val="Normal"/>
    <w:link w:val="FooterChar"/>
    <w:unhideWhenUsed/>
    <w:rsid w:val="00D5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2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45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3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1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2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8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2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71619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80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8262">
                                  <w:marLeft w:val="13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4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D2D2D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g@ngo.mission.am" TargetMode="External"/><Relationship Id="rId1" Type="http://schemas.openxmlformats.org/officeDocument/2006/relationships/hyperlink" Target="mailto:org@ngo.mission.a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pension.am/__vfs/222" TargetMode="External"/><Relationship Id="rId2" Type="http://schemas.openxmlformats.org/officeDocument/2006/relationships/hyperlink" Target="http://www.epension.am/__vfs/222" TargetMode="External"/><Relationship Id="rId1" Type="http://schemas.openxmlformats.org/officeDocument/2006/relationships/hyperlink" Target="http://www.president.am/en/constitution-201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7B484-66A6-459B-B5B5-E71E8C9F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Davtyan</dc:creator>
  <cp:keywords/>
  <dc:description/>
  <cp:lastModifiedBy>Meri Davtyan</cp:lastModifiedBy>
  <cp:revision>44</cp:revision>
  <dcterms:created xsi:type="dcterms:W3CDTF">2019-01-22T11:06:00Z</dcterms:created>
  <dcterms:modified xsi:type="dcterms:W3CDTF">2019-01-31T09:05:00Z</dcterms:modified>
</cp:coreProperties>
</file>